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F27" w:rsidRPr="008E332D" w:rsidRDefault="00BA7F27" w:rsidP="008F70B7">
      <w:pPr>
        <w:adjustRightInd w:val="0"/>
        <w:snapToGrid w:val="0"/>
        <w:ind w:firstLine="720"/>
        <w:rPr>
          <w:rFonts w:cs="Arial"/>
          <w:b/>
          <w:color w:val="000000" w:themeColor="text1"/>
          <w:szCs w:val="20"/>
        </w:rPr>
      </w:pPr>
      <w:r w:rsidRPr="008E332D">
        <w:rPr>
          <w:rFonts w:cs="Arial"/>
          <w:b/>
          <w:color w:val="000000" w:themeColor="text1"/>
          <w:szCs w:val="20"/>
        </w:rPr>
        <w:t>Mẫu số 06. Bản nhận xét báo cáo đánh giá tác động môi trường</w:t>
      </w:r>
    </w:p>
    <w:p w:rsidR="00BA7F27" w:rsidRPr="008E332D" w:rsidRDefault="00BA7F27" w:rsidP="008F70B7">
      <w:pPr>
        <w:adjustRightInd w:val="0"/>
        <w:snapToGrid w:val="0"/>
        <w:jc w:val="center"/>
        <w:rPr>
          <w:rFonts w:cs="Arial"/>
          <w:color w:val="000000" w:themeColor="text1"/>
          <w:szCs w:val="20"/>
        </w:rPr>
      </w:pPr>
    </w:p>
    <w:p w:rsidR="00BA7F27" w:rsidRPr="008E332D" w:rsidRDefault="00BA7F27" w:rsidP="008F70B7">
      <w:pPr>
        <w:adjustRightInd w:val="0"/>
        <w:snapToGrid w:val="0"/>
        <w:jc w:val="center"/>
        <w:rPr>
          <w:rFonts w:cs="Arial"/>
          <w:bCs/>
          <w:color w:val="000000" w:themeColor="text1"/>
          <w:szCs w:val="20"/>
          <w:vertAlign w:val="superscript"/>
        </w:rPr>
      </w:pPr>
      <w:r w:rsidRPr="008E332D">
        <w:rPr>
          <w:rFonts w:cs="Arial"/>
          <w:b/>
          <w:color w:val="000000" w:themeColor="text1"/>
          <w:szCs w:val="20"/>
        </w:rPr>
        <w:t>CỘNG HÒA XÃ HỘI CHỦ NGHĨA VIỆT NAM</w:t>
      </w:r>
      <w:r w:rsidRPr="008E332D">
        <w:rPr>
          <w:rFonts w:cs="Arial"/>
          <w:b/>
          <w:color w:val="000000" w:themeColor="text1"/>
          <w:szCs w:val="20"/>
        </w:rPr>
        <w:br/>
        <w:t>Độc lập - Tự do - Hạnh phúc</w:t>
      </w:r>
      <w:r w:rsidRPr="008E332D">
        <w:rPr>
          <w:rFonts w:cs="Arial"/>
          <w:b/>
          <w:color w:val="000000" w:themeColor="text1"/>
          <w:szCs w:val="20"/>
        </w:rPr>
        <w:br/>
      </w:r>
      <w:r w:rsidRPr="008E332D">
        <w:rPr>
          <w:rFonts w:cs="Arial"/>
          <w:bCs/>
          <w:color w:val="000000" w:themeColor="text1"/>
          <w:szCs w:val="20"/>
          <w:vertAlign w:val="superscript"/>
        </w:rPr>
        <w:t>_______________________</w:t>
      </w:r>
    </w:p>
    <w:p w:rsidR="00BA7F27" w:rsidRPr="008E332D" w:rsidRDefault="00BA7F27" w:rsidP="008F70B7">
      <w:pPr>
        <w:adjustRightInd w:val="0"/>
        <w:snapToGrid w:val="0"/>
        <w:jc w:val="center"/>
        <w:rPr>
          <w:rFonts w:cs="Arial"/>
          <w:b/>
          <w:color w:val="000000" w:themeColor="text1"/>
          <w:szCs w:val="20"/>
        </w:rPr>
      </w:pPr>
    </w:p>
    <w:p w:rsidR="00BA7F27" w:rsidRPr="008E332D" w:rsidRDefault="00BA7F27" w:rsidP="008F70B7">
      <w:pPr>
        <w:adjustRightInd w:val="0"/>
        <w:snapToGrid w:val="0"/>
        <w:jc w:val="center"/>
        <w:rPr>
          <w:rFonts w:cs="Arial"/>
          <w:b/>
          <w:color w:val="000000" w:themeColor="text1"/>
          <w:szCs w:val="20"/>
        </w:rPr>
      </w:pPr>
      <w:r w:rsidRPr="008E332D">
        <w:rPr>
          <w:rFonts w:cs="Arial"/>
          <w:b/>
          <w:color w:val="000000" w:themeColor="text1"/>
          <w:szCs w:val="20"/>
        </w:rPr>
        <w:t>BẢN NHẬN XÉT</w:t>
      </w:r>
      <w:r w:rsidRPr="008E332D">
        <w:rPr>
          <w:rFonts w:cs="Arial"/>
          <w:b/>
          <w:color w:val="000000" w:themeColor="text1"/>
          <w:szCs w:val="20"/>
        </w:rPr>
        <w:br/>
        <w:t>BÁO CÁO ĐÁNH GIÁ TÁC ĐỘNG MÔI TRƯỜNG</w:t>
      </w:r>
    </w:p>
    <w:p w:rsidR="00BA7F27" w:rsidRPr="008E332D" w:rsidRDefault="00BA7F27" w:rsidP="008F70B7">
      <w:pPr>
        <w:adjustRightInd w:val="0"/>
        <w:snapToGrid w:val="0"/>
        <w:jc w:val="center"/>
        <w:rPr>
          <w:rFonts w:cs="Arial"/>
          <w:color w:val="000000" w:themeColor="text1"/>
          <w:szCs w:val="20"/>
        </w:rPr>
      </w:pP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b/>
          <w:color w:val="000000" w:themeColor="text1"/>
          <w:szCs w:val="20"/>
        </w:rPr>
        <w:t>I.</w:t>
      </w:r>
      <w:r w:rsidRPr="008E332D">
        <w:rPr>
          <w:rFonts w:cs="Arial"/>
          <w:color w:val="000000" w:themeColor="text1"/>
          <w:szCs w:val="20"/>
        </w:rPr>
        <w:t xml:space="preserve"> </w:t>
      </w:r>
      <w:r w:rsidRPr="008E332D">
        <w:rPr>
          <w:rFonts w:cs="Arial"/>
          <w:b/>
          <w:color w:val="000000" w:themeColor="text1"/>
          <w:szCs w:val="20"/>
        </w:rPr>
        <w:t>Thông tin của thành viên hội đồng thẩm định</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1. Họ và tên người nhận xét</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2. Học hàm, học vị, chức vụ công tác</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3. Nơi công tác: </w:t>
      </w:r>
      <w:r w:rsidRPr="008E332D">
        <w:rPr>
          <w:rFonts w:cs="Arial"/>
          <w:i/>
          <w:color w:val="000000" w:themeColor="text1"/>
          <w:szCs w:val="20"/>
        </w:rPr>
        <w:t>tên cơ quan, địa chỉ, số điện thoại, Fax, e-mail.</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4. Chức danh trong hội đồng</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5. Tên dự án</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b/>
          <w:color w:val="000000" w:themeColor="text1"/>
          <w:szCs w:val="20"/>
        </w:rPr>
        <w:t>II.</w:t>
      </w:r>
      <w:r w:rsidRPr="008E332D">
        <w:rPr>
          <w:rFonts w:cs="Arial"/>
          <w:color w:val="000000" w:themeColor="text1"/>
          <w:szCs w:val="20"/>
        </w:rPr>
        <w:t xml:space="preserve"> </w:t>
      </w:r>
      <w:r w:rsidRPr="008E332D">
        <w:rPr>
          <w:rFonts w:cs="Arial"/>
          <w:b/>
          <w:color w:val="000000" w:themeColor="text1"/>
          <w:szCs w:val="20"/>
        </w:rPr>
        <w:t>Ý kiến thẩm định</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t>1. Ý kiến thẩm định chung</w:t>
      </w:r>
      <w:r w:rsidRPr="008E332D">
        <w:rPr>
          <w:rFonts w:cs="Arial"/>
          <w:color w:val="000000" w:themeColor="text1"/>
          <w:szCs w:val="20"/>
        </w:rPr>
        <w:t xml:space="preserve"> (yêu cầu đối với tất cả ủy viên Hội đồng)</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1.1. Sự phù hợp với Quy hoạch bảo vệ môi trường, nội dung bảo vệ môi trường trong quy hoạch vùng, quy hoạch tỉnh trong trường hợp dự án không thuộc đối tượng phải đánh giá sơ bộ tác động môi trường; sự phù hợp với quy định của pháp luật về bảo vệ môi trường</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a) Sự phù hợp với Quy hoạch bảo vệ môi trường, nội dung bảo vệ môi trường trong quy hoạch vùng, quy hoạch tỉnh trong trường hợp dự án không thuộc đối tượng phải đánh giá sơ bộ tác động môi trường</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b) Sự phù hợp với quy định của pháp luật về bảo vệ môi trường</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1.2. Sự phù hợp của các phương pháp đánh giá tác động môi trường; phương pháp đánh giá tác động tới lòng, bờ, bãi sông, hồ (đối với dự án thuộc đối tượng phải đánh giá tác động tới lòng, bờ, bãi sông, hồ theo quy định của pháp luật về tài nguyên nước) (nếu có); phương pháp khác được sử dụng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a) Sự phù hợp của các phương pháp đánh giá tác động môi trường</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b) Sự phù hợp của phương pháp đánh giá tác động tới lòng, bờ, bãi sông, hồ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c) Sự phù hợp của phương pháp khác được sử dụng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1.3. Sự phù hợp về việc nhận dạng, xác định công nghệ, các hạng mục công trình, hoạt động của dự án có khả năng tác động xấu đến môi trường; các hạng mục công trình, hoạt động của dự án có khả năng tác động tới lòng, bờ, bãi sông, hồ (đối với dự án thuộc đối tượng phải đánh giá tác động tới lòng, bờ, bãi sông, hồ theo quy định của pháp luật về tài nguyên nước) (nếu có); các hoạt động lấn, lấp sông, suối, kênh, mương, rạch nhưng có biện pháp khắc phục (không gây cản trở thoát lũ, lưu thông nước, khai thác, sử dụng nước) theo quy định của pháp luật về tài nguyên nước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a) Sự phù hợp về việc nhận dạng, xác định công nghệ, các hạng mục công trình, hoạt động của dự án có khả năng tác động xấu đến môi trường</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b) Sự phù hợp về việc nhận dạng, xác định các hạng mục công trình, hoạt động của dự án có khả năng tác động tới lòng, bờ, bãi sông, hồ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c) Sự phù hợp về việc nhận dạng, xác định các hoạt động lấn, lấp sông, suối, kênh, mương, rạch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1.4. Sự phù hợp của kết quả đánh giá hiện trạng môi trường, đa dạng sinh học; hiện trạng lòng, bờ, bãi sông, hồ bị tác động (đối với dự án thuộc đối tượng phải đánh giá tác động tới lòng, bờ, bãi sông, hồ theo quy định của pháp luật về tài nguyên nước) (nếu có); hiện trạng sông, suối, kênh, mương, rạch bị lấn, lấp (nếu có); nhận dạng đối tượng bị tác động, yếu tố nhạy cảm về môi trường nơi thực hiện dự án đầu tư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a) Sự phù hợp của kết quả đánh giá hiện trạng môi trường, đa dạng sinh học</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b) Sự phù hợp của kết quả đánh giá hiện trạng lòng, bờ, bãi sông, hồ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c) Sự phù hợp của kết quả đánh giá hiện trạng sông, suối, kênh, mương, rạch bị lấn, lấp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d) Sự phù hợp của kết quả nhận dạng đối tượng bị tác động, yếu tố nhạy cảm về môi trường nơi thực hiện dự án đầu tư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1.5. Sự phù hợp của kết quả nhận dạng, dự báo các tác động chính, chất thải phát sinh từ dự án đầu tư đến môi trường; tác động tới lòng, bờ, bãi sông, hồ (đối với dự án thuộc đối tượng phải đánh giá tác động tới lòng, bờ, bãi sông, hồ theo quy định của pháp luật về tài nguyên nước) (nếu có); tác động của hoạt động lấn, lấp sông, suối, kênh, mương, rạch nhưng có biện pháp khắc phục (không gây cản trở thoát lũ, lưu thông nước, khai thác, sử dụng nước) theo quy định của pháp luật về tài nguyên nước (nếu có); dự báo sự cố môi trường; dự báo sự cố tác động tới lòng, bờ, bãi sông, hồ (đối với dự án thuộc đối tượng phải đánh giá tác động tới lòng, bờ, bãi sông, hồ theo quy định của pháp luật về tài nguyên nước) (nếu có); dự báo sự cố tác động của hoạt động lấn, lấp sông, suối, kênh, mương, rạch nhưng có biện pháp khắc phục (không gây cản trở thoát lũ, lưu thông nước, khai thác, sử dụng nước) theo quy định của pháp luật về tài nguyên nước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a) Sự phù hợp của kết quả nhận dạng, dự báo các tác động chính, chất thải phát sinh từ dự án đầu tư đến môi trường</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b) Sự phù hợp của kết quả nhận dạng, dự báo tác động tới lòng, bờ, bãi sông, hồ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c) Sự phù hợp của kết quả nhận dạng, dự báo tác động của hoạt động lấn, lấp sông, suối, kênh, mương, rạch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d) Sự phù hợp của kết quả nhận dạng, dự báo sự cố môi trường</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đ) Sự phù hợp của kết quả nhận dạng, dự báo sự cố tác động tới lòng, bờ, bãi sông, hồ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e) Sự phù hợp của kết quả nhận dạng, dự báo sự cố tác động của hoạt động lấn, lấp sông, suối, kênh, mương, rạch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1.6. Sự phù hợp, tính khả thi của các công trình, biện pháp bảo vệ môi trường; phương án cải tạo, phục hồi môi trường (nếu có); phương án bồi hoàn đa dạng sinh học (nếu có); phương án thực hiện, các yêu cầu và điều kiện để bảo vệ, phòng, chống sạt lở lòng, bờ, bãi sông, hồ (đối với dự án thuộc đối tượng phải đánh giá tác động tới lòng, bờ, bãi sông, hồ theo quy định của pháp luật về tài nguyên nước) (nếu có); biện pháp khắc phục (không gây cản trở thoát lũ, lưu thông nước, khai thác, sử dụng nước) đối với hoạt động lấn, lấp sông, suối, kênh, mương, rạch theo quy định của pháp luật về tài nguyên nước (nếu có); phương án phòng ngừa, ứng phó sự cố môi trường; phương án phòng ngừa, ứng phó sự cố tác động tới lòng, bờ, bãi sông, hồ (đối với dự án thuộc đối tượng phải đánh giá tác động tới lòng, bờ, bãi sông, hồ theo quy định của pháp luật về tài nguyên nước) (nếu có); phương án phòng ngừa, ứng phó sự cố tác động do hoạt động lấn, lấp sông, suối, kênh, mương, rạch theo quy định của pháp luật về tài nguyên nước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a) Sự phù hợp, tính khả thi của các công trình, biện pháp bảo vệ môi trường</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b) Sự phù hợp, tính khả thi của phương án cải tạo, phục hồi môi trường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c) Sự phù hợp, tính khả thi của phương án bồi hoàn đa dạng sinh học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d) Sự phù hợp, tính khả thi của phương án thực hiện, các yêu cầu và điều kiện để bảo vệ, phòng, chống sạt lở lòng, bờ, bãi sông, hồ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đ) Sự phù hợp, tính khả thi của biện pháp khắc phục đối với hoạt động lấn, lấp sông, suối, kênh, mương, rạch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e) Sự phù hợp, tính khả thi của phương án phòng ngừa, ứng phó sự cố môi trường</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g) Sự phù hợp, tính khả thi của phương án phòng ngừa, ứng phó sự cố tác động tới lòng, bờ, bãi sông, hồ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h) Sự phù hợp, tính khả thi của phương án phòng ngừa, ứng phó sự cố tác động do hoạt động lấn, lấp sông, suối, kênh, mương, rạch (nếu có)</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1.7. Sự phù hợp của dự án đầu tư đáp ứng tiêu chí môi trường theo quy định để được xác nhận dự án đầu tư thuộc danh mục phân loại xanh (đối với trường hợp đề nghị xác nhận dự án đầu tư thuộc danh mục phân loại xanh theo quy định tại Quyết định số 21/2025/QĐ-TTg)</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1.8. Sự phù hợp của chương trình quản lý và giám sát môi trường; tính đầy đủ, khả thi đối với các cam kết bảo vệ môi trường của chủ dự án đầu tư</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t>2.</w:t>
      </w:r>
      <w:r w:rsidRPr="008E332D">
        <w:rPr>
          <w:rFonts w:cs="Arial"/>
          <w:color w:val="000000" w:themeColor="text1"/>
          <w:szCs w:val="20"/>
        </w:rPr>
        <w:t xml:space="preserve"> </w:t>
      </w:r>
      <w:r w:rsidRPr="008E332D">
        <w:rPr>
          <w:rFonts w:cs="Arial"/>
          <w:b/>
          <w:i/>
          <w:color w:val="000000" w:themeColor="text1"/>
          <w:szCs w:val="20"/>
        </w:rPr>
        <w:t>Đối với ủy viên phản biện</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Ngoài các ý kiến thẩm định chung như đối với tất cả ủy viên Hội đồng, Ủy viên phản biện cần có thêm các nhận xét, đánh giá sau:</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Nhận xét, đánh giá về căn cứ pháp lý, kỹ thuật của Dự án.</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Chi tiết về nội dung chuyên môn, kỹ thuật của báo cáo ĐTM theo tính chất của dự án đầu tư.</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Yêu cầu đối với dự án khi xem xét phê duyệt kết quả thẩm định báo cáo ĐTM.</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t>3.</w:t>
      </w:r>
      <w:r w:rsidRPr="008E332D">
        <w:rPr>
          <w:rFonts w:cs="Arial"/>
          <w:color w:val="000000" w:themeColor="text1"/>
          <w:szCs w:val="20"/>
        </w:rPr>
        <w:t xml:space="preserve"> </w:t>
      </w:r>
      <w:r w:rsidRPr="008E332D">
        <w:rPr>
          <w:rFonts w:cs="Arial"/>
          <w:b/>
          <w:i/>
          <w:color w:val="000000" w:themeColor="text1"/>
          <w:szCs w:val="20"/>
        </w:rPr>
        <w:t>Đối với Ủy viên đại diện cơ quan, tổ chức</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Ngoài các ý kiến thẩm định chung như đối với tất cả ủy viên Hội đồng, ủy viên đại diện cơ quan, tổ chức cần có thêm nhận xét, đánh giá nội dung báo cáo đánh giá tác động môi trường của dự án đầu tư liên quan đến phạm vi quản lý của cơ quan, tổ chức mình đại diện.</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color w:val="000000" w:themeColor="text1"/>
          <w:szCs w:val="20"/>
        </w:rPr>
        <w:t>Đối với dự án đầu tư có hoạt động xả nước thải vào công trình thủy lợi, đại diện cơ quan quản lý nhà nước về thủy lợi phải có ý kiến đồng thuận hay không đồng thuận đối với hoạt động xả nước thải vào công trình thủy lợi, trường hợp không đồng thuận phải nêu rõ lý do và yêu cầu đối với chủ dự án.</w:t>
      </w:r>
    </w:p>
    <w:p w:rsidR="00BA7F27" w:rsidRPr="008E332D" w:rsidRDefault="00BA7F27"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t>4.</w:t>
      </w:r>
      <w:r w:rsidRPr="008E332D">
        <w:rPr>
          <w:rFonts w:cs="Arial"/>
          <w:color w:val="000000" w:themeColor="text1"/>
          <w:szCs w:val="20"/>
        </w:rPr>
        <w:t xml:space="preserve"> </w:t>
      </w:r>
      <w:r w:rsidRPr="008E332D">
        <w:rPr>
          <w:rFonts w:cs="Arial"/>
          <w:b/>
          <w:i/>
          <w:color w:val="000000" w:themeColor="text1"/>
          <w:szCs w:val="20"/>
        </w:rPr>
        <w:t>Đối với trường hợp thẩm định theo hình thức lấy ý kiến chuyên gia</w:t>
      </w:r>
    </w:p>
    <w:p w:rsidR="00BA7F27" w:rsidRPr="008E332D" w:rsidRDefault="00BA7F27" w:rsidP="008F70B7">
      <w:pPr>
        <w:adjustRightInd w:val="0"/>
        <w:snapToGrid w:val="0"/>
        <w:ind w:firstLine="720"/>
        <w:rPr>
          <w:rFonts w:cs="Arial"/>
          <w:color w:val="000000" w:themeColor="text1"/>
          <w:szCs w:val="20"/>
        </w:rPr>
      </w:pPr>
      <w:r w:rsidRPr="008E332D">
        <w:rPr>
          <w:rFonts w:cs="Arial"/>
          <w:color w:val="000000" w:themeColor="text1"/>
          <w:szCs w:val="20"/>
        </w:rPr>
        <w:t>Chuyên gia nêu rõ 01 trong 03 mức độ: thông qua không cần chỉnh sửa, bổ sung; thông qua với điều kiện phải chỉnh sửa, bổ sung; không thông qua.</w:t>
      </w:r>
    </w:p>
    <w:p w:rsidR="00BA7F27" w:rsidRPr="008E332D" w:rsidRDefault="00BA7F27" w:rsidP="008F70B7">
      <w:pPr>
        <w:adjustRightInd w:val="0"/>
        <w:snapToGrid w:val="0"/>
        <w:jc w:val="center"/>
        <w:rPr>
          <w:rFonts w:cs="Arial"/>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5324"/>
      </w:tblGrid>
      <w:tr w:rsidR="00BA7F27" w:rsidRPr="008E332D" w:rsidTr="00BA17DB">
        <w:tc>
          <w:tcPr>
            <w:tcW w:w="2049" w:type="pct"/>
          </w:tcPr>
          <w:p w:rsidR="00BA7F27" w:rsidRPr="008E332D" w:rsidRDefault="00BA7F27" w:rsidP="008F70B7">
            <w:pPr>
              <w:adjustRightInd w:val="0"/>
              <w:snapToGrid w:val="0"/>
              <w:jc w:val="center"/>
              <w:rPr>
                <w:rFonts w:ascii="Arial" w:hAnsi="Arial" w:cs="Arial"/>
                <w:color w:val="000000" w:themeColor="text1"/>
                <w:sz w:val="20"/>
                <w:szCs w:val="20"/>
              </w:rPr>
            </w:pPr>
          </w:p>
        </w:tc>
        <w:tc>
          <w:tcPr>
            <w:tcW w:w="2951" w:type="pct"/>
          </w:tcPr>
          <w:p w:rsidR="00BA7F27" w:rsidRPr="008E332D" w:rsidRDefault="00BA7F27" w:rsidP="008F70B7">
            <w:pPr>
              <w:adjustRightInd w:val="0"/>
              <w:snapToGrid w:val="0"/>
              <w:jc w:val="center"/>
              <w:rPr>
                <w:rFonts w:ascii="Arial" w:hAnsi="Arial" w:cs="Arial"/>
                <w:color w:val="000000" w:themeColor="text1"/>
                <w:sz w:val="20"/>
                <w:szCs w:val="20"/>
              </w:rPr>
            </w:pPr>
            <w:r w:rsidRPr="008E332D">
              <w:rPr>
                <w:rFonts w:ascii="Arial" w:hAnsi="Arial" w:cs="Arial"/>
                <w:i/>
                <w:color w:val="000000" w:themeColor="text1"/>
                <w:sz w:val="20"/>
                <w:szCs w:val="20"/>
              </w:rPr>
              <w:t>(Địa danh nơi viết nhận xét), ngày... tháng... năm...</w:t>
            </w:r>
            <w:r w:rsidRPr="008E332D">
              <w:rPr>
                <w:rFonts w:ascii="Arial" w:hAnsi="Arial" w:cs="Arial"/>
                <w:i/>
                <w:color w:val="000000" w:themeColor="text1"/>
                <w:sz w:val="20"/>
                <w:szCs w:val="20"/>
              </w:rPr>
              <w:br/>
            </w:r>
            <w:r w:rsidRPr="008E332D">
              <w:rPr>
                <w:rFonts w:ascii="Arial" w:hAnsi="Arial" w:cs="Arial"/>
                <w:b/>
                <w:color w:val="000000" w:themeColor="text1"/>
                <w:sz w:val="20"/>
                <w:szCs w:val="20"/>
              </w:rPr>
              <w:t>NGƯỜI NHẬN XÉT</w:t>
            </w:r>
            <w:r w:rsidRPr="008E332D">
              <w:rPr>
                <w:rFonts w:ascii="Arial" w:hAnsi="Arial" w:cs="Arial"/>
                <w:b/>
                <w:color w:val="000000" w:themeColor="text1"/>
                <w:sz w:val="20"/>
                <w:szCs w:val="20"/>
              </w:rPr>
              <w:br/>
            </w:r>
            <w:r w:rsidRPr="008E332D">
              <w:rPr>
                <w:rFonts w:ascii="Arial" w:hAnsi="Arial" w:cs="Arial"/>
                <w:b/>
                <w:color w:val="000000" w:themeColor="text1"/>
                <w:sz w:val="20"/>
                <w:szCs w:val="20"/>
              </w:rPr>
              <w:br/>
            </w:r>
            <w:r w:rsidRPr="008E332D">
              <w:rPr>
                <w:rFonts w:ascii="Arial" w:hAnsi="Arial" w:cs="Arial"/>
                <w:i/>
                <w:color w:val="000000" w:themeColor="text1"/>
                <w:sz w:val="20"/>
                <w:szCs w:val="20"/>
              </w:rPr>
              <w:t>(Chữ ký)</w:t>
            </w:r>
            <w:r w:rsidRPr="008E332D">
              <w:rPr>
                <w:rFonts w:ascii="Arial" w:hAnsi="Arial" w:cs="Arial"/>
                <w:i/>
                <w:color w:val="000000" w:themeColor="text1"/>
                <w:sz w:val="20"/>
                <w:szCs w:val="20"/>
              </w:rPr>
              <w:br/>
            </w:r>
            <w:r w:rsidRPr="008E332D">
              <w:rPr>
                <w:rFonts w:ascii="Arial" w:hAnsi="Arial" w:cs="Arial"/>
                <w:i/>
                <w:color w:val="000000" w:themeColor="text1"/>
                <w:sz w:val="20"/>
                <w:szCs w:val="20"/>
              </w:rPr>
              <w:br/>
            </w:r>
            <w:r w:rsidRPr="008E332D">
              <w:rPr>
                <w:rFonts w:ascii="Arial" w:hAnsi="Arial" w:cs="Arial"/>
                <w:b/>
                <w:color w:val="000000" w:themeColor="text1"/>
                <w:sz w:val="20"/>
                <w:szCs w:val="20"/>
              </w:rPr>
              <w:t>Họ và tên</w:t>
            </w:r>
          </w:p>
        </w:tc>
      </w:tr>
    </w:tbl>
    <w:p w:rsidR="00BA7F27" w:rsidRPr="008E332D" w:rsidRDefault="00BA7F27" w:rsidP="000F2664">
      <w:pPr>
        <w:adjustRightInd w:val="0"/>
        <w:snapToGrid w:val="0"/>
        <w:spacing w:after="120"/>
        <w:ind w:firstLine="720"/>
        <w:rPr>
          <w:rFonts w:cs="Arial"/>
          <w:color w:val="000000" w:themeColor="text1"/>
          <w:szCs w:val="20"/>
        </w:rPr>
      </w:pPr>
    </w:p>
    <w:p w:rsidR="00BA7F27" w:rsidRPr="008E332D" w:rsidRDefault="00BA7F27" w:rsidP="000F2664">
      <w:pPr>
        <w:adjustRightInd w:val="0"/>
        <w:snapToGrid w:val="0"/>
        <w:spacing w:after="120"/>
        <w:ind w:firstLine="720"/>
        <w:rPr>
          <w:rFonts w:cs="Arial"/>
          <w:color w:val="000000" w:themeColor="text1"/>
          <w:szCs w:val="20"/>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27"/>
    <w:rsid w:val="0008006B"/>
    <w:rsid w:val="00095A1D"/>
    <w:rsid w:val="000A0C79"/>
    <w:rsid w:val="000D5E87"/>
    <w:rsid w:val="00133017"/>
    <w:rsid w:val="001B3152"/>
    <w:rsid w:val="001E075F"/>
    <w:rsid w:val="00200E50"/>
    <w:rsid w:val="00222042"/>
    <w:rsid w:val="002C1DE4"/>
    <w:rsid w:val="00324ADB"/>
    <w:rsid w:val="00327E43"/>
    <w:rsid w:val="00387B47"/>
    <w:rsid w:val="003D02C9"/>
    <w:rsid w:val="003D5A97"/>
    <w:rsid w:val="003E24E3"/>
    <w:rsid w:val="003E2EFC"/>
    <w:rsid w:val="003F10C1"/>
    <w:rsid w:val="00404105"/>
    <w:rsid w:val="004475DB"/>
    <w:rsid w:val="0047058B"/>
    <w:rsid w:val="004A2F57"/>
    <w:rsid w:val="004C4E46"/>
    <w:rsid w:val="005166C8"/>
    <w:rsid w:val="00537140"/>
    <w:rsid w:val="005E45E3"/>
    <w:rsid w:val="005F7A1E"/>
    <w:rsid w:val="00616E15"/>
    <w:rsid w:val="00617E40"/>
    <w:rsid w:val="00655369"/>
    <w:rsid w:val="006813D0"/>
    <w:rsid w:val="006A2149"/>
    <w:rsid w:val="00736FD4"/>
    <w:rsid w:val="007C1791"/>
    <w:rsid w:val="007C3540"/>
    <w:rsid w:val="007D71AB"/>
    <w:rsid w:val="00800DBD"/>
    <w:rsid w:val="008255BF"/>
    <w:rsid w:val="00837594"/>
    <w:rsid w:val="0085593D"/>
    <w:rsid w:val="00881A61"/>
    <w:rsid w:val="008872C4"/>
    <w:rsid w:val="008F68C8"/>
    <w:rsid w:val="009507A3"/>
    <w:rsid w:val="00990068"/>
    <w:rsid w:val="009C4B7D"/>
    <w:rsid w:val="009E4351"/>
    <w:rsid w:val="00A10863"/>
    <w:rsid w:val="00A13812"/>
    <w:rsid w:val="00A36B91"/>
    <w:rsid w:val="00A95913"/>
    <w:rsid w:val="00B0038D"/>
    <w:rsid w:val="00B20152"/>
    <w:rsid w:val="00B44C78"/>
    <w:rsid w:val="00BA624B"/>
    <w:rsid w:val="00BA7F27"/>
    <w:rsid w:val="00BB7D4C"/>
    <w:rsid w:val="00C46229"/>
    <w:rsid w:val="00C970F1"/>
    <w:rsid w:val="00CC57FE"/>
    <w:rsid w:val="00D31496"/>
    <w:rsid w:val="00E14C63"/>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551F9-665B-4AC9-B3BD-1940729B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F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F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F2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F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A7F2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A7F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7F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7F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7F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F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F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F2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F2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A7F2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A7F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7F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7F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7F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7F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F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F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7F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7F27"/>
    <w:rPr>
      <w:i/>
      <w:iCs/>
      <w:color w:val="404040" w:themeColor="text1" w:themeTint="BF"/>
    </w:rPr>
  </w:style>
  <w:style w:type="paragraph" w:styleId="ListParagraph">
    <w:name w:val="List Paragraph"/>
    <w:basedOn w:val="Normal"/>
    <w:uiPriority w:val="34"/>
    <w:qFormat/>
    <w:rsid w:val="00BA7F27"/>
    <w:pPr>
      <w:ind w:left="720"/>
      <w:contextualSpacing/>
    </w:pPr>
  </w:style>
  <w:style w:type="character" w:styleId="IntenseEmphasis">
    <w:name w:val="Intense Emphasis"/>
    <w:basedOn w:val="DefaultParagraphFont"/>
    <w:uiPriority w:val="21"/>
    <w:qFormat/>
    <w:rsid w:val="00BA7F27"/>
    <w:rPr>
      <w:i/>
      <w:iCs/>
      <w:color w:val="2F5496" w:themeColor="accent1" w:themeShade="BF"/>
    </w:rPr>
  </w:style>
  <w:style w:type="paragraph" w:styleId="IntenseQuote">
    <w:name w:val="Intense Quote"/>
    <w:basedOn w:val="Normal"/>
    <w:next w:val="Normal"/>
    <w:link w:val="IntenseQuoteChar"/>
    <w:uiPriority w:val="30"/>
    <w:qFormat/>
    <w:rsid w:val="00BA7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F27"/>
    <w:rPr>
      <w:i/>
      <w:iCs/>
      <w:color w:val="2F5496" w:themeColor="accent1" w:themeShade="BF"/>
    </w:rPr>
  </w:style>
  <w:style w:type="character" w:styleId="IntenseReference">
    <w:name w:val="Intense Reference"/>
    <w:basedOn w:val="DefaultParagraphFont"/>
    <w:uiPriority w:val="32"/>
    <w:qFormat/>
    <w:rsid w:val="00BA7F27"/>
    <w:rPr>
      <w:b/>
      <w:bCs/>
      <w:smallCaps/>
      <w:color w:val="2F5496" w:themeColor="accent1" w:themeShade="BF"/>
      <w:spacing w:val="5"/>
    </w:rPr>
  </w:style>
  <w:style w:type="table" w:styleId="TableGrid">
    <w:name w:val="Table Grid"/>
    <w:basedOn w:val="TableNormal"/>
    <w:uiPriority w:val="39"/>
    <w:rsid w:val="00BA7F27"/>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1933</Words>
  <Characters>11020</Characters>
  <Application>Microsoft Office Word</Application>
  <DocSecurity>0</DocSecurity>
  <Lines>91</Lines>
  <Paragraphs>25</Paragraphs>
  <ScaleCrop>false</ScaleCrop>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2026-02-06T07:40:00Z</dcterms:created>
  <dcterms:modified xsi:type="dcterms:W3CDTF">2026-02-06T07:40:00Z</dcterms:modified>
</cp:coreProperties>
</file>